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248" w:type="dxa"/>
        <w:tblInd w:w="-289" w:type="dxa"/>
        <w:shd w:val="clear" w:color="auto" w:fill="FFFFFF" w:themeFill="background1"/>
        <w:tblLook w:val="04A0" w:firstRow="1" w:lastRow="0" w:firstColumn="1" w:lastColumn="0" w:noHBand="0" w:noVBand="1"/>
      </w:tblPr>
      <w:tblGrid>
        <w:gridCol w:w="8506"/>
        <w:gridCol w:w="4252"/>
        <w:gridCol w:w="2490"/>
      </w:tblGrid>
      <w:tr w:rsidR="00DD192E" w:rsidRPr="002442AF" w14:paraId="376C5D2A" w14:textId="77777777" w:rsidTr="00DD192E">
        <w:tc>
          <w:tcPr>
            <w:tcW w:w="12758" w:type="dxa"/>
            <w:gridSpan w:val="2"/>
            <w:tcBorders>
              <w:right w:val="single" w:sz="8" w:space="0" w:color="000000"/>
            </w:tcBorders>
            <w:shd w:val="clear" w:color="auto" w:fill="DEEAF6" w:themeFill="accent1" w:themeFillTint="33"/>
          </w:tcPr>
          <w:p w14:paraId="09F54C76"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22830B3C"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04569BE8" w14:textId="77777777" w:rsidR="00DD192E" w:rsidRDefault="00DD192E" w:rsidP="002442AF">
            <w:pPr>
              <w:jc w:val="center"/>
              <w:textAlignment w:val="baseline"/>
              <w:rPr>
                <w:rFonts w:ascii="Times New Roman" w:eastAsia="Calibri" w:hAnsi="Times New Roman" w:cs="Times New Roman"/>
                <w:b/>
                <w:lang w:val="bg-BG"/>
              </w:rPr>
            </w:pPr>
            <w:r w:rsidRPr="002442AF">
              <w:rPr>
                <w:rFonts w:ascii="Times New Roman" w:eastAsia="Calibri" w:hAnsi="Times New Roman" w:cs="Times New Roman"/>
                <w:b/>
                <w:lang w:val="bg-BG"/>
              </w:rPr>
              <w:t xml:space="preserve">ОБЩИНА: </w:t>
            </w:r>
            <w:r w:rsidR="00F47074">
              <w:rPr>
                <w:rFonts w:ascii="Times New Roman" w:eastAsia="Calibri" w:hAnsi="Times New Roman" w:cs="Times New Roman"/>
                <w:b/>
                <w:lang w:val="bg-BG"/>
              </w:rPr>
              <w:t>КАСПИЧАН</w:t>
            </w:r>
          </w:p>
          <w:p w14:paraId="1852B166" w14:textId="3F5D962A" w:rsidR="00AD2A6A" w:rsidRPr="002442AF" w:rsidRDefault="00AD2A6A" w:rsidP="002442AF">
            <w:pPr>
              <w:jc w:val="center"/>
              <w:textAlignment w:val="baseline"/>
              <w:rPr>
                <w:rFonts w:ascii="Times New Roman" w:eastAsia="Times New Roman" w:hAnsi="Times New Roman" w:cs="Times New Roman"/>
                <w:b/>
                <w:bCs/>
                <w:lang w:eastAsia="bg-BG"/>
              </w:rPr>
            </w:pPr>
          </w:p>
        </w:tc>
      </w:tr>
      <w:tr w:rsidR="002442AF" w:rsidRPr="002442AF" w14:paraId="4DB46166" w14:textId="77777777" w:rsidTr="00AD2A6A">
        <w:tc>
          <w:tcPr>
            <w:tcW w:w="8506" w:type="dxa"/>
            <w:shd w:val="clear" w:color="auto" w:fill="FFFFFF" w:themeFill="background1"/>
          </w:tcPr>
          <w:p w14:paraId="533ED632"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42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CAC1003"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5FEF0061"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6EEE7967"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2E8E276B" w14:textId="77777777" w:rsidTr="002442AF">
        <w:tc>
          <w:tcPr>
            <w:tcW w:w="15248" w:type="dxa"/>
            <w:gridSpan w:val="3"/>
            <w:tcBorders>
              <w:bottom w:val="single" w:sz="4" w:space="0" w:color="auto"/>
            </w:tcBorders>
            <w:shd w:val="clear" w:color="auto" w:fill="FBE4D5" w:themeFill="accent2" w:themeFillTint="33"/>
          </w:tcPr>
          <w:p w14:paraId="1C095EFF"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2250C522" w14:textId="77777777" w:rsidTr="00AD2A6A">
        <w:tc>
          <w:tcPr>
            <w:tcW w:w="8506" w:type="dxa"/>
            <w:shd w:val="clear" w:color="auto" w:fill="FFFFFF" w:themeFill="background1"/>
          </w:tcPr>
          <w:p w14:paraId="1E8AF1FD"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4252" w:type="dxa"/>
            <w:shd w:val="clear" w:color="auto" w:fill="FFFFFF" w:themeFill="background1"/>
          </w:tcPr>
          <w:p w14:paraId="2AEC1E92" w14:textId="77777777" w:rsidR="00AD2A6A" w:rsidRDefault="0098763D" w:rsidP="0098763D">
            <w:pPr>
              <w:spacing w:line="276" w:lineRule="auto"/>
              <w:jc w:val="both"/>
              <w:rPr>
                <w:rFonts w:ascii="Times New Roman" w:eastAsia="Calibri" w:hAnsi="Times New Roman" w:cs="Times New Roman"/>
                <w:sz w:val="20"/>
                <w:szCs w:val="20"/>
                <w:lang w:val="bg-BG"/>
              </w:rPr>
            </w:pPr>
            <w:r w:rsidRPr="0098763D">
              <w:rPr>
                <w:rFonts w:ascii="Times New Roman" w:eastAsia="Calibri" w:hAnsi="Times New Roman" w:cs="Times New Roman"/>
                <w:sz w:val="20"/>
                <w:szCs w:val="20"/>
                <w:lang w:val="bg-BG"/>
              </w:rPr>
              <w:t>За длъжностите в общинската администрация са разработени длъжностни характеристики, които освен работните задължения за специалистите съдържат информация за необходимите знания, умения и образователна степен в съответна професионална област.</w:t>
            </w:r>
          </w:p>
          <w:p w14:paraId="3684DDCD" w14:textId="217F47A4" w:rsidR="002442AF" w:rsidRDefault="0098763D" w:rsidP="0098763D">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 Трудовото изпълнение се осъществява чрез ежегодна атестация при спазване на нормативните изисквания и при оценката на трудовото изпълнение се оценяват уменията и идентифицират евентуални пропуски в знанията и уменията на специалистите. </w:t>
            </w:r>
            <w:r w:rsidRPr="0098763D">
              <w:rPr>
                <w:rFonts w:ascii="Times New Roman" w:eastAsia="Calibri" w:hAnsi="Times New Roman" w:cs="Times New Roman"/>
                <w:sz w:val="20"/>
                <w:szCs w:val="20"/>
                <w:lang w:val="bg-BG"/>
              </w:rPr>
              <w:t>Ежегодно се изготвя анализ на потребностите от обучение на служителите в общинска администрация Каспичан, включващ и синтезиран отчет за проведените обучения на служителите</w:t>
            </w:r>
            <w:r>
              <w:rPr>
                <w:rFonts w:ascii="Times New Roman" w:eastAsia="Calibri" w:hAnsi="Times New Roman" w:cs="Times New Roman"/>
                <w:sz w:val="20"/>
                <w:szCs w:val="20"/>
                <w:lang w:val="bg-BG"/>
              </w:rPr>
              <w:t xml:space="preserve">. </w:t>
            </w:r>
            <w:r w:rsidRPr="0098763D">
              <w:rPr>
                <w:rFonts w:ascii="Times New Roman" w:eastAsia="Calibri" w:hAnsi="Times New Roman" w:cs="Times New Roman"/>
                <w:sz w:val="20"/>
                <w:szCs w:val="20"/>
                <w:lang w:val="bg-BG"/>
              </w:rPr>
              <w:t>Към кандидатурата на община Каспичан са представени линкове към документи, които показват, че служителите се включват в обучения за професионално развитие в зависимост от спецификата на длъжността, която заемат.</w:t>
            </w:r>
          </w:p>
          <w:p w14:paraId="01CFF1E3" w14:textId="77777777" w:rsidR="0098763D" w:rsidRDefault="0098763D" w:rsidP="0098763D">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Дейността по УЧР се осъществява въз основа на нормативните изисквания и Вътрешните правила за управление на човешките ресурси в общинска администрация Каспичан.</w:t>
            </w:r>
          </w:p>
          <w:p w14:paraId="537240A4" w14:textId="61E3F8E2" w:rsidR="00AD2A6A" w:rsidRPr="00000671" w:rsidRDefault="00AD2A6A" w:rsidP="0098763D">
            <w:pPr>
              <w:spacing w:line="276" w:lineRule="auto"/>
              <w:jc w:val="both"/>
              <w:rPr>
                <w:rFonts w:ascii="Times New Roman" w:eastAsia="Calibri" w:hAnsi="Times New Roman" w:cs="Times New Roman"/>
                <w:sz w:val="20"/>
                <w:szCs w:val="20"/>
                <w:lang w:val="bg-BG"/>
              </w:rPr>
            </w:pPr>
          </w:p>
        </w:tc>
        <w:tc>
          <w:tcPr>
            <w:tcW w:w="2490" w:type="dxa"/>
            <w:shd w:val="clear" w:color="auto" w:fill="FFFFFF" w:themeFill="background1"/>
          </w:tcPr>
          <w:p w14:paraId="6126A33A" w14:textId="6C4C21EA"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14:paraId="26109B1E" w14:textId="77777777" w:rsidTr="002442AF">
        <w:tc>
          <w:tcPr>
            <w:tcW w:w="15248" w:type="dxa"/>
            <w:gridSpan w:val="3"/>
            <w:shd w:val="clear" w:color="auto" w:fill="FBE4D5" w:themeFill="accent2" w:themeFillTint="33"/>
          </w:tcPr>
          <w:p w14:paraId="0FA773C2"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lastRenderedPageBreak/>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39CC8EA4" w14:textId="77777777" w:rsidTr="00AD2A6A">
        <w:tc>
          <w:tcPr>
            <w:tcW w:w="8506" w:type="dxa"/>
            <w:shd w:val="clear" w:color="auto" w:fill="FFFFFF" w:themeFill="background1"/>
          </w:tcPr>
          <w:p w14:paraId="661B85DE"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4252" w:type="dxa"/>
            <w:shd w:val="clear" w:color="auto" w:fill="FFFFFF" w:themeFill="background1"/>
          </w:tcPr>
          <w:p w14:paraId="6CD6F422" w14:textId="77777777" w:rsidR="00AD2A6A" w:rsidRDefault="00903F81" w:rsidP="00903F81">
            <w:pPr>
              <w:spacing w:line="276" w:lineRule="auto"/>
              <w:jc w:val="both"/>
              <w:rPr>
                <w:rFonts w:ascii="Times New Roman" w:eastAsia="Calibri" w:hAnsi="Times New Roman" w:cs="Times New Roman"/>
                <w:sz w:val="20"/>
                <w:szCs w:val="20"/>
                <w:lang w:val="bg-BG"/>
              </w:rPr>
            </w:pPr>
            <w:r w:rsidRPr="00903F81">
              <w:rPr>
                <w:rFonts w:ascii="Times New Roman" w:eastAsia="Calibri" w:hAnsi="Times New Roman" w:cs="Times New Roman"/>
                <w:sz w:val="20"/>
                <w:szCs w:val="20"/>
                <w:lang w:val="bg-BG"/>
              </w:rPr>
              <w:t xml:space="preserve">От Вътрешните правила на заплатите на общинската администрация Каспичан е видно, че е създадена и се прилага система за мотивация на служителите и възнаграждаване на доброто изпълнение и подобряване на незадоволителното изпълнение. Предвижда се материално стимулиране за добро изпълнение- Размерът на месечната заплата може да се увеличи с определен процент в зависимост от оценката на атестация. </w:t>
            </w:r>
          </w:p>
          <w:p w14:paraId="531D261C" w14:textId="77777777" w:rsidR="00AD2A6A" w:rsidRDefault="00903F81" w:rsidP="00903F81">
            <w:pPr>
              <w:spacing w:line="276" w:lineRule="auto"/>
              <w:jc w:val="both"/>
              <w:rPr>
                <w:rFonts w:ascii="Times New Roman" w:eastAsia="Calibri" w:hAnsi="Times New Roman" w:cs="Times New Roman"/>
                <w:sz w:val="20"/>
                <w:szCs w:val="20"/>
                <w:lang w:val="bg-BG"/>
              </w:rPr>
            </w:pPr>
            <w:r w:rsidRPr="00903F81">
              <w:rPr>
                <w:rFonts w:ascii="Times New Roman" w:eastAsia="Calibri" w:hAnsi="Times New Roman" w:cs="Times New Roman"/>
                <w:sz w:val="20"/>
                <w:szCs w:val="20"/>
                <w:lang w:val="bg-BG"/>
              </w:rPr>
              <w:t xml:space="preserve">В чл. 11 (1) от Вътрешните правила на заплатите на общинската администрация се посочва, че индивидуалната основна месечна заплата на служителя може да се увеличава въз основа на последната годишна оценка за изпълнението на длъжността. </w:t>
            </w:r>
          </w:p>
          <w:p w14:paraId="3AE71F42" w14:textId="0D60BC1C" w:rsidR="00903F81" w:rsidRPr="00903F81" w:rsidRDefault="00903F81" w:rsidP="00903F81">
            <w:pPr>
              <w:spacing w:line="276" w:lineRule="auto"/>
              <w:jc w:val="both"/>
              <w:rPr>
                <w:rFonts w:ascii="Times New Roman" w:eastAsia="Calibri" w:hAnsi="Times New Roman" w:cs="Times New Roman"/>
                <w:sz w:val="20"/>
                <w:szCs w:val="20"/>
                <w:lang w:val="bg-BG"/>
              </w:rPr>
            </w:pPr>
            <w:r w:rsidRPr="00903F81">
              <w:rPr>
                <w:rFonts w:ascii="Times New Roman" w:eastAsia="Calibri" w:hAnsi="Times New Roman" w:cs="Times New Roman"/>
                <w:sz w:val="20"/>
                <w:szCs w:val="20"/>
                <w:lang w:val="bg-BG"/>
              </w:rPr>
              <w:t xml:space="preserve">Спрямо оценката от атестацията на служителя се предвижда различно процентно увеличение на работната заплата - чл. 12 (1) от Вътрешните правила на заплатите на общинска администрация Каспичан. </w:t>
            </w:r>
          </w:p>
          <w:p w14:paraId="48EB89C9" w14:textId="4FA70336" w:rsidR="002442AF" w:rsidRPr="00000671" w:rsidRDefault="00903F81" w:rsidP="00903F81">
            <w:pPr>
              <w:spacing w:line="276" w:lineRule="auto"/>
              <w:rPr>
                <w:rFonts w:ascii="Times New Roman" w:eastAsia="Calibri" w:hAnsi="Times New Roman" w:cs="Times New Roman"/>
                <w:sz w:val="20"/>
                <w:szCs w:val="20"/>
                <w:lang w:val="bg-BG"/>
              </w:rPr>
            </w:pPr>
            <w:r w:rsidRPr="00903F81">
              <w:rPr>
                <w:rFonts w:ascii="Times New Roman" w:eastAsia="Calibri" w:hAnsi="Times New Roman" w:cs="Times New Roman"/>
                <w:sz w:val="20"/>
                <w:szCs w:val="20"/>
                <w:lang w:val="bg-BG"/>
              </w:rPr>
              <w:t>Нематериално стимулиране се получава чрез осигурените възможности за специализирано обучение и развитие на кадрите.</w:t>
            </w:r>
          </w:p>
        </w:tc>
        <w:tc>
          <w:tcPr>
            <w:tcW w:w="2490" w:type="dxa"/>
            <w:shd w:val="clear" w:color="auto" w:fill="FFFFFF" w:themeFill="background1"/>
          </w:tcPr>
          <w:p w14:paraId="0F11D2B1" w14:textId="5C352EFD"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5ED0B168" w14:textId="77777777" w:rsidTr="00AD2A6A">
        <w:tc>
          <w:tcPr>
            <w:tcW w:w="8506" w:type="dxa"/>
            <w:shd w:val="clear" w:color="auto" w:fill="FFFFFF" w:themeFill="background1"/>
          </w:tcPr>
          <w:p w14:paraId="77890836"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4252" w:type="dxa"/>
            <w:shd w:val="clear" w:color="auto" w:fill="FFFFFF" w:themeFill="background1"/>
          </w:tcPr>
          <w:p w14:paraId="0D6B212A" w14:textId="77777777" w:rsidR="00AD2A6A" w:rsidRDefault="00EB4BFE" w:rsidP="00000671">
            <w:pPr>
              <w:spacing w:line="276" w:lineRule="auto"/>
              <w:rPr>
                <w:rFonts w:ascii="Times New Roman" w:eastAsia="Calibri" w:hAnsi="Times New Roman" w:cs="Times New Roman"/>
                <w:sz w:val="20"/>
                <w:szCs w:val="20"/>
                <w:lang w:val="bg-BG"/>
              </w:rPr>
            </w:pPr>
            <w:r w:rsidRPr="00EB4BFE">
              <w:rPr>
                <w:rFonts w:ascii="Times New Roman" w:eastAsia="Calibri" w:hAnsi="Times New Roman" w:cs="Times New Roman"/>
                <w:sz w:val="20"/>
                <w:szCs w:val="20"/>
                <w:lang w:val="bg-BG"/>
              </w:rPr>
              <w:t xml:space="preserve">Наборът и подборът на специалисти се извършва въз основа на нормативните изисквания и  Вътрешните правила за подбор и назначаване на служители в общинска администрация Каспичан. </w:t>
            </w:r>
          </w:p>
          <w:p w14:paraId="33A0F246" w14:textId="5D7FDDC1" w:rsidR="002442AF" w:rsidRDefault="00EB4BFE" w:rsidP="00000671">
            <w:pPr>
              <w:spacing w:line="276" w:lineRule="auto"/>
              <w:rPr>
                <w:rFonts w:ascii="Times New Roman" w:eastAsia="Calibri" w:hAnsi="Times New Roman" w:cs="Times New Roman"/>
                <w:sz w:val="20"/>
                <w:szCs w:val="20"/>
                <w:lang w:val="bg-BG"/>
              </w:rPr>
            </w:pPr>
            <w:r w:rsidRPr="00EB4BFE">
              <w:rPr>
                <w:rFonts w:ascii="Times New Roman" w:eastAsia="Calibri" w:hAnsi="Times New Roman" w:cs="Times New Roman"/>
                <w:sz w:val="20"/>
                <w:szCs w:val="20"/>
                <w:lang w:val="bg-BG"/>
              </w:rPr>
              <w:t xml:space="preserve">При обявяване на свободни работни позиции се посочват изискванията за заемане на длъжността (образование, професионален </w:t>
            </w:r>
            <w:r w:rsidRPr="00EB4BFE">
              <w:rPr>
                <w:rFonts w:ascii="Times New Roman" w:eastAsia="Calibri" w:hAnsi="Times New Roman" w:cs="Times New Roman"/>
                <w:sz w:val="20"/>
                <w:szCs w:val="20"/>
                <w:lang w:val="bg-BG"/>
              </w:rPr>
              <w:lastRenderedPageBreak/>
              <w:t>опит, меки умения), както и формата и методите за подбор на специалисти.</w:t>
            </w:r>
          </w:p>
          <w:p w14:paraId="5F0CE944" w14:textId="472132A5" w:rsidR="00EB4BFE" w:rsidRPr="00000671" w:rsidRDefault="00EB4BFE" w:rsidP="00000671">
            <w:pPr>
              <w:spacing w:line="276" w:lineRule="auto"/>
              <w:rPr>
                <w:rFonts w:ascii="Times New Roman" w:eastAsia="Calibri" w:hAnsi="Times New Roman" w:cs="Times New Roman"/>
                <w:sz w:val="20"/>
                <w:szCs w:val="20"/>
                <w:lang w:val="bg-BG"/>
              </w:rPr>
            </w:pPr>
            <w:r w:rsidRPr="00EB4BFE">
              <w:rPr>
                <w:rFonts w:ascii="Times New Roman" w:eastAsia="Calibri" w:hAnsi="Times New Roman" w:cs="Times New Roman"/>
                <w:sz w:val="20"/>
                <w:szCs w:val="20"/>
                <w:lang w:val="bg-BG"/>
              </w:rPr>
              <w:t>Конкурсите за свободните длъжности се обявяват въз основа на Заповед на Кмета на община Каспичан, като обявленията се публикуват на официалната Интернет страница на общината, както и за държавните служители в административния регистър.</w:t>
            </w:r>
          </w:p>
        </w:tc>
        <w:tc>
          <w:tcPr>
            <w:tcW w:w="2490" w:type="dxa"/>
            <w:shd w:val="clear" w:color="auto" w:fill="FFFFFF" w:themeFill="background1"/>
          </w:tcPr>
          <w:p w14:paraId="0D5DB40B" w14:textId="31FF26CA"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14:paraId="1D733B14" w14:textId="77777777" w:rsidTr="00AD2A6A">
        <w:tc>
          <w:tcPr>
            <w:tcW w:w="8506" w:type="dxa"/>
            <w:shd w:val="clear" w:color="auto" w:fill="FFFFFF" w:themeFill="background1"/>
          </w:tcPr>
          <w:p w14:paraId="0732D174"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4252" w:type="dxa"/>
            <w:shd w:val="clear" w:color="auto" w:fill="FFFFFF" w:themeFill="background1"/>
          </w:tcPr>
          <w:p w14:paraId="55221265" w14:textId="77777777" w:rsidR="00AD2A6A" w:rsidRDefault="000924A2" w:rsidP="000924A2">
            <w:pPr>
              <w:spacing w:line="276" w:lineRule="auto"/>
              <w:jc w:val="both"/>
              <w:rPr>
                <w:rFonts w:ascii="Times New Roman" w:eastAsia="Calibri" w:hAnsi="Times New Roman" w:cs="Times New Roman"/>
                <w:sz w:val="20"/>
                <w:szCs w:val="20"/>
                <w:lang w:val="bg-BG"/>
              </w:rPr>
            </w:pPr>
            <w:r w:rsidRPr="000924A2">
              <w:rPr>
                <w:rFonts w:ascii="Times New Roman" w:eastAsia="Calibri" w:hAnsi="Times New Roman" w:cs="Times New Roman"/>
                <w:sz w:val="20"/>
                <w:szCs w:val="20"/>
                <w:lang w:val="bg-BG"/>
              </w:rPr>
              <w:t xml:space="preserve">Ежегодно се изготвя анализ на потребностите от обучение на служителите в общинска администрация Каспичан, включващ и синтезиран отчет за проведените обучения на служителите. </w:t>
            </w:r>
          </w:p>
          <w:p w14:paraId="58578FE8" w14:textId="7C72A49D" w:rsidR="000924A2" w:rsidRDefault="000924A2" w:rsidP="000924A2">
            <w:pPr>
              <w:spacing w:line="276" w:lineRule="auto"/>
              <w:jc w:val="both"/>
              <w:rPr>
                <w:rFonts w:ascii="Times New Roman" w:eastAsia="Calibri" w:hAnsi="Times New Roman" w:cs="Times New Roman"/>
                <w:sz w:val="20"/>
                <w:szCs w:val="20"/>
                <w:lang w:val="bg-BG"/>
              </w:rPr>
            </w:pPr>
            <w:r w:rsidRPr="000924A2">
              <w:rPr>
                <w:rFonts w:ascii="Times New Roman" w:eastAsia="Calibri" w:hAnsi="Times New Roman" w:cs="Times New Roman"/>
                <w:sz w:val="20"/>
                <w:szCs w:val="20"/>
                <w:lang w:val="bg-BG"/>
              </w:rPr>
              <w:t>Въз основа на анализа на потребностите и в съответствие с нормативните правила за УЧР в администрацията се изготвят и утвърждават по съответния административен ред планове за обучение за съответната година.</w:t>
            </w:r>
          </w:p>
          <w:p w14:paraId="439A0D7B" w14:textId="37D743FA" w:rsidR="002442AF" w:rsidRPr="00000671" w:rsidRDefault="000924A2" w:rsidP="00AD2A6A">
            <w:pPr>
              <w:spacing w:line="276" w:lineRule="auto"/>
              <w:jc w:val="both"/>
              <w:rPr>
                <w:rFonts w:ascii="Times New Roman" w:eastAsia="Calibri" w:hAnsi="Times New Roman" w:cs="Times New Roman"/>
                <w:sz w:val="20"/>
                <w:szCs w:val="20"/>
                <w:lang w:val="bg-BG"/>
              </w:rPr>
            </w:pPr>
            <w:r w:rsidRPr="000924A2">
              <w:rPr>
                <w:rFonts w:ascii="Times New Roman" w:eastAsia="Calibri" w:hAnsi="Times New Roman" w:cs="Times New Roman"/>
                <w:sz w:val="20"/>
                <w:szCs w:val="20"/>
                <w:lang w:val="bg-BG"/>
              </w:rPr>
              <w:t>Разработва се план за обучение на служителите на годишна база и към кандидатурата са представени документални доказателства за проведени обучения на служителите от администрацията.</w:t>
            </w:r>
          </w:p>
        </w:tc>
        <w:tc>
          <w:tcPr>
            <w:tcW w:w="2490" w:type="dxa"/>
            <w:shd w:val="clear" w:color="auto" w:fill="FFFFFF" w:themeFill="background1"/>
          </w:tcPr>
          <w:p w14:paraId="08040652" w14:textId="1D614D61"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62D48025" w14:textId="77777777" w:rsidTr="00AD2A6A">
        <w:tc>
          <w:tcPr>
            <w:tcW w:w="8506" w:type="dxa"/>
            <w:shd w:val="clear" w:color="auto" w:fill="FFFFFF" w:themeFill="background1"/>
          </w:tcPr>
          <w:p w14:paraId="68AE2616"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4252" w:type="dxa"/>
            <w:shd w:val="clear" w:color="auto" w:fill="FFFFFF" w:themeFill="background1"/>
          </w:tcPr>
          <w:p w14:paraId="17E6630D" w14:textId="77777777" w:rsidR="00AD2A6A" w:rsidRDefault="000924A2" w:rsidP="000924A2">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Към кандидатурата има представени линкове към годишни анализи на проведените обучения на служителите съгласно утвърдения план. Извършва се атестация на служителите съгласно нормативните изисквания.</w:t>
            </w:r>
          </w:p>
          <w:p w14:paraId="0AC9098B" w14:textId="77777777" w:rsidR="002442AF" w:rsidRDefault="000924A2" w:rsidP="000924A2">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 xml:space="preserve"> Резултатите се анализират и отчитат</w:t>
            </w:r>
            <w:r w:rsidR="00AD2A6A">
              <w:rPr>
                <w:rFonts w:ascii="Times New Roman" w:eastAsia="Calibri" w:hAnsi="Times New Roman" w:cs="Times New Roman"/>
                <w:sz w:val="20"/>
                <w:szCs w:val="20"/>
                <w:lang w:val="bg-BG"/>
              </w:rPr>
              <w:t xml:space="preserve"> и са основа, както за планиране на обученията за следващия период, така и за корекция в плановите документи.</w:t>
            </w:r>
          </w:p>
          <w:p w14:paraId="7BF80031" w14:textId="1728942C" w:rsidR="00AD2A6A" w:rsidRPr="00000671" w:rsidRDefault="00AD2A6A" w:rsidP="000924A2">
            <w:pPr>
              <w:spacing w:line="276" w:lineRule="auto"/>
              <w:jc w:val="both"/>
              <w:rPr>
                <w:rFonts w:ascii="Times New Roman" w:eastAsia="Calibri" w:hAnsi="Times New Roman" w:cs="Times New Roman"/>
                <w:sz w:val="20"/>
                <w:szCs w:val="20"/>
                <w:lang w:val="bg-BG"/>
              </w:rPr>
            </w:pPr>
          </w:p>
        </w:tc>
        <w:tc>
          <w:tcPr>
            <w:tcW w:w="2490" w:type="dxa"/>
            <w:shd w:val="clear" w:color="auto" w:fill="FFFFFF" w:themeFill="background1"/>
          </w:tcPr>
          <w:p w14:paraId="742C4EB6" w14:textId="5D08BDB8"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29F12C3D" w14:textId="77777777" w:rsidTr="002442AF">
        <w:tc>
          <w:tcPr>
            <w:tcW w:w="15248" w:type="dxa"/>
            <w:gridSpan w:val="3"/>
            <w:shd w:val="clear" w:color="auto" w:fill="FBE4D5" w:themeFill="accent2" w:themeFillTint="33"/>
          </w:tcPr>
          <w:p w14:paraId="0D44F82A" w14:textId="77777777" w:rsidR="002442AF" w:rsidRPr="00F47074" w:rsidRDefault="002442AF" w:rsidP="002442AF">
            <w:pPr>
              <w:tabs>
                <w:tab w:val="left" w:pos="7938"/>
              </w:tabs>
              <w:spacing w:afterLines="40" w:after="96"/>
              <w:jc w:val="both"/>
              <w:rPr>
                <w:rFonts w:ascii="Times New Roman" w:eastAsia="Times New Roman" w:hAnsi="Times New Roman" w:cs="Times New Roman"/>
                <w:b/>
                <w:bCs/>
                <w:noProof/>
                <w:lang w:val="ru-RU" w:eastAsia="bg-BG"/>
              </w:rPr>
            </w:pPr>
            <w:r w:rsidRPr="002442AF">
              <w:rPr>
                <w:rFonts w:ascii="Times New Roman" w:eastAsia="Times New Roman" w:hAnsi="Times New Roman" w:cs="Times New Roman"/>
                <w:b/>
                <w:bCs/>
                <w:noProof/>
                <w:lang w:val="bg-BG" w:eastAsia="bg-BG"/>
              </w:rPr>
              <w:lastRenderedPageBreak/>
              <w:t xml:space="preserve">ДЕЙНОСТ 3: </w:t>
            </w:r>
            <w:r w:rsidRPr="00F47074">
              <w:rPr>
                <w:rFonts w:ascii="Times New Roman" w:eastAsia="Times New Roman" w:hAnsi="Times New Roman" w:cs="Times New Roman"/>
                <w:b/>
                <w:bCs/>
                <w:noProof/>
                <w:lang w:val="ru-RU"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221EF516" w14:textId="77777777" w:rsidTr="00AD2A6A">
        <w:tc>
          <w:tcPr>
            <w:tcW w:w="8506" w:type="dxa"/>
            <w:shd w:val="clear" w:color="auto" w:fill="FFFFFF" w:themeFill="background1"/>
          </w:tcPr>
          <w:p w14:paraId="243AF6DB"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4252" w:type="dxa"/>
            <w:shd w:val="clear" w:color="auto" w:fill="FFFFFF" w:themeFill="background1"/>
          </w:tcPr>
          <w:p w14:paraId="267E2288" w14:textId="77777777" w:rsidR="002442AF" w:rsidRDefault="00AD2A6A" w:rsidP="00AD2A6A">
            <w:pPr>
              <w:spacing w:line="276" w:lineRule="auto"/>
              <w:jc w:val="both"/>
              <w:rPr>
                <w:rFonts w:ascii="Times New Roman" w:eastAsia="Calibri" w:hAnsi="Times New Roman" w:cs="Times New Roman"/>
                <w:sz w:val="20"/>
                <w:szCs w:val="20"/>
                <w:lang w:val="bg-BG"/>
              </w:rPr>
            </w:pPr>
            <w:r w:rsidRPr="00AD2A6A">
              <w:rPr>
                <w:rFonts w:ascii="Times New Roman" w:eastAsia="Calibri" w:hAnsi="Times New Roman" w:cs="Times New Roman"/>
                <w:sz w:val="20"/>
                <w:szCs w:val="20"/>
                <w:lang w:val="bg-BG"/>
              </w:rPr>
              <w:t xml:space="preserve">Критериите за подбор на служители в общинската администрация са публични: при обявяването на свободна позиция се посочват изискванията за заемане на длъжността, начина за провеждане на конкурса, методите и критериите за подбор. </w:t>
            </w:r>
          </w:p>
          <w:p w14:paraId="051CE91C" w14:textId="18BF61AA" w:rsidR="00AD2A6A" w:rsidRPr="00000671" w:rsidRDefault="00AD2A6A" w:rsidP="00AD2A6A">
            <w:pPr>
              <w:spacing w:line="276" w:lineRule="auto"/>
              <w:jc w:val="both"/>
              <w:rPr>
                <w:rFonts w:ascii="Times New Roman" w:eastAsia="Calibri" w:hAnsi="Times New Roman" w:cs="Times New Roman"/>
                <w:sz w:val="20"/>
                <w:szCs w:val="20"/>
                <w:lang w:val="bg-BG"/>
              </w:rPr>
            </w:pPr>
            <w:r>
              <w:rPr>
                <w:rFonts w:ascii="Times New Roman" w:eastAsia="Calibri" w:hAnsi="Times New Roman" w:cs="Times New Roman"/>
                <w:sz w:val="20"/>
                <w:szCs w:val="20"/>
                <w:lang w:val="bg-BG"/>
              </w:rPr>
              <w:t>Критериите за подбор са стриктно се основават на нормативните изисквания и в този смисъл не допускат дискриминация.</w:t>
            </w:r>
          </w:p>
        </w:tc>
        <w:tc>
          <w:tcPr>
            <w:tcW w:w="2490" w:type="dxa"/>
            <w:shd w:val="clear" w:color="auto" w:fill="FFFFFF" w:themeFill="background1"/>
          </w:tcPr>
          <w:p w14:paraId="41277777" w14:textId="09BFC769"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355A50A3" w14:textId="77777777" w:rsidTr="00AD2A6A">
        <w:tc>
          <w:tcPr>
            <w:tcW w:w="8506" w:type="dxa"/>
            <w:shd w:val="clear" w:color="auto" w:fill="FFFFFF" w:themeFill="background1"/>
          </w:tcPr>
          <w:p w14:paraId="18AD1334"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4252" w:type="dxa"/>
            <w:shd w:val="clear" w:color="auto" w:fill="FFFFFF" w:themeFill="background1"/>
          </w:tcPr>
          <w:p w14:paraId="42C66CEF" w14:textId="6A1B1FC9" w:rsidR="002442AF" w:rsidRPr="00000671" w:rsidRDefault="00AD2A6A" w:rsidP="00000671">
            <w:pPr>
              <w:spacing w:line="276" w:lineRule="auto"/>
              <w:rPr>
                <w:rFonts w:ascii="Times New Roman" w:eastAsia="Calibri" w:hAnsi="Times New Roman" w:cs="Times New Roman"/>
                <w:sz w:val="20"/>
                <w:szCs w:val="20"/>
                <w:lang w:val="bg-BG"/>
              </w:rPr>
            </w:pPr>
            <w:r w:rsidRPr="00AD2A6A">
              <w:rPr>
                <w:rFonts w:ascii="Times New Roman" w:eastAsia="Calibri" w:hAnsi="Times New Roman" w:cs="Times New Roman"/>
                <w:sz w:val="20"/>
                <w:szCs w:val="20"/>
                <w:lang w:val="bg-BG"/>
              </w:rPr>
              <w:t>Прилага се системен подход за атестиране на служителите, който съответства на нормативната уредба. Изготвят се атестационни формуляри за оценка на трудовото изпълнение. Служителите се стимулират материално и нематериално за добро изпълнение на задълженията съгласно длъжностната характеристика и работния план. Това се осъществява на база разработени и утвърдени Вътрешни правила.</w:t>
            </w:r>
          </w:p>
        </w:tc>
        <w:tc>
          <w:tcPr>
            <w:tcW w:w="2490" w:type="dxa"/>
            <w:shd w:val="clear" w:color="auto" w:fill="FFFFFF" w:themeFill="background1"/>
          </w:tcPr>
          <w:p w14:paraId="514DEBC2" w14:textId="57BE0902" w:rsidR="002442AF" w:rsidRPr="008573D0" w:rsidRDefault="00F47074"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0EAC7E20" w14:textId="77777777" w:rsidTr="00AD2A6A">
        <w:tc>
          <w:tcPr>
            <w:tcW w:w="8506" w:type="dxa"/>
            <w:shd w:val="clear" w:color="auto" w:fill="E2EFD9" w:themeFill="accent6" w:themeFillTint="33"/>
          </w:tcPr>
          <w:p w14:paraId="64D44AEA"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3F4ADAB5"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35B53A94" w14:textId="77777777" w:rsidR="002442AF" w:rsidRPr="00F47074" w:rsidRDefault="002442AF" w:rsidP="002442AF">
            <w:pPr>
              <w:shd w:val="clear" w:color="auto" w:fill="E2EFD9" w:themeFill="accent6" w:themeFillTint="33"/>
              <w:jc w:val="center"/>
              <w:rPr>
                <w:rFonts w:ascii="Times New Roman" w:eastAsia="Calibri" w:hAnsi="Times New Roman" w:cs="Times New Roman"/>
                <w:lang w:val="ru-RU"/>
              </w:rPr>
            </w:pPr>
          </w:p>
        </w:tc>
        <w:tc>
          <w:tcPr>
            <w:tcW w:w="6742" w:type="dxa"/>
            <w:gridSpan w:val="2"/>
            <w:shd w:val="clear" w:color="auto" w:fill="E2EFD9" w:themeFill="accent6" w:themeFillTint="33"/>
          </w:tcPr>
          <w:p w14:paraId="04951E08" w14:textId="77777777" w:rsidR="002442AF" w:rsidRPr="00F47074" w:rsidRDefault="002442AF" w:rsidP="002442AF">
            <w:pPr>
              <w:shd w:val="clear" w:color="auto" w:fill="E2EFD9" w:themeFill="accent6" w:themeFillTint="33"/>
              <w:jc w:val="center"/>
              <w:rPr>
                <w:rFonts w:ascii="Times New Roman" w:eastAsia="Calibri" w:hAnsi="Times New Roman" w:cs="Times New Roman"/>
                <w:lang w:val="ru-RU"/>
              </w:rPr>
            </w:pPr>
          </w:p>
          <w:p w14:paraId="67ADB959" w14:textId="67FF4EFB" w:rsidR="002442AF" w:rsidRPr="002442AF" w:rsidRDefault="00000671" w:rsidP="002442AF">
            <w:pPr>
              <w:shd w:val="clear" w:color="auto" w:fill="E2EFD9" w:themeFill="accent6" w:themeFillTint="33"/>
              <w:jc w:val="center"/>
              <w:rPr>
                <w:rFonts w:ascii="Times New Roman" w:eastAsia="Calibri" w:hAnsi="Times New Roman" w:cs="Times New Roman"/>
                <w:lang w:val="bg-BG"/>
              </w:rPr>
            </w:pPr>
            <w:r w:rsidRPr="00180C8A">
              <w:rPr>
                <w:rFonts w:ascii="Times New Roman" w:eastAsia="Calibri" w:hAnsi="Times New Roman" w:cs="Times New Roman"/>
                <w:b/>
                <w:bCs/>
                <w:lang w:val="bg-BG"/>
              </w:rPr>
              <w:t>Заверка „без резерви“</w:t>
            </w:r>
          </w:p>
        </w:tc>
      </w:tr>
    </w:tbl>
    <w:p w14:paraId="0A6F4F98"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42DD" w14:textId="77777777" w:rsidR="00FC7D04" w:rsidRDefault="00FC7D04" w:rsidP="00B13C96">
      <w:pPr>
        <w:spacing w:after="0" w:line="240" w:lineRule="auto"/>
      </w:pPr>
      <w:r>
        <w:separator/>
      </w:r>
    </w:p>
  </w:endnote>
  <w:endnote w:type="continuationSeparator" w:id="0">
    <w:p w14:paraId="7C7C44F7" w14:textId="77777777" w:rsidR="00FC7D04" w:rsidRDefault="00FC7D04"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D6BB" w14:textId="77777777" w:rsidR="00FC7D04" w:rsidRDefault="00FC7D04" w:rsidP="00B13C96">
      <w:pPr>
        <w:spacing w:after="0" w:line="240" w:lineRule="auto"/>
      </w:pPr>
      <w:r>
        <w:separator/>
      </w:r>
    </w:p>
  </w:footnote>
  <w:footnote w:type="continuationSeparator" w:id="0">
    <w:p w14:paraId="374CD97C" w14:textId="77777777" w:rsidR="00FC7D04" w:rsidRDefault="00FC7D04"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11516"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00671"/>
    <w:rsid w:val="000924A2"/>
    <w:rsid w:val="00141164"/>
    <w:rsid w:val="002442AF"/>
    <w:rsid w:val="00246FD8"/>
    <w:rsid w:val="002751F4"/>
    <w:rsid w:val="002C0C92"/>
    <w:rsid w:val="002C5294"/>
    <w:rsid w:val="00466C81"/>
    <w:rsid w:val="005D4B4F"/>
    <w:rsid w:val="005D67E1"/>
    <w:rsid w:val="00705F9C"/>
    <w:rsid w:val="007257D0"/>
    <w:rsid w:val="007942A6"/>
    <w:rsid w:val="008B4EFC"/>
    <w:rsid w:val="00903F81"/>
    <w:rsid w:val="0098763D"/>
    <w:rsid w:val="00AD2A6A"/>
    <w:rsid w:val="00B13C96"/>
    <w:rsid w:val="00BF0CD2"/>
    <w:rsid w:val="00DD192E"/>
    <w:rsid w:val="00E367A5"/>
    <w:rsid w:val="00EB4BFE"/>
    <w:rsid w:val="00F47074"/>
    <w:rsid w:val="00FC7D04"/>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D2881"/>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User</cp:lastModifiedBy>
  <cp:revision>13</cp:revision>
  <dcterms:created xsi:type="dcterms:W3CDTF">2022-07-05T10:46:00Z</dcterms:created>
  <dcterms:modified xsi:type="dcterms:W3CDTF">2025-06-03T12:04:00Z</dcterms:modified>
</cp:coreProperties>
</file>